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szCs w:val="28"/>
        </w:rPr>
      </w:pPr>
      <w:r>
        <w:rPr>
          <w:sz w:val="28"/>
          <w:szCs w:val="28"/>
        </w:rPr>
        <w:t xml:space="preserve">Jaarplan SSGKF 2026 </w:t>
      </w:r>
    </w:p>
    <w:p>
      <w:pPr>
        <w:pStyle w:val="Normal"/>
        <w:rPr>
          <w:b/>
          <w:b/>
        </w:rPr>
      </w:pPr>
      <w:r>
        <w:rPr>
          <w:b/>
        </w:rPr>
      </w:r>
    </w:p>
    <w:p>
      <w:pPr>
        <w:pStyle w:val="Normal"/>
        <w:rPr>
          <w:b/>
          <w:b/>
        </w:rPr>
      </w:pPr>
      <w:r>
        <w:rPr>
          <w:b/>
        </w:rPr>
      </w:r>
    </w:p>
    <w:p>
      <w:pPr>
        <w:pStyle w:val="Normal"/>
        <w:rPr>
          <w:b/>
          <w:b/>
        </w:rPr>
      </w:pPr>
      <w:r>
        <w:rPr>
          <w:b/>
        </w:rPr>
        <w:t xml:space="preserve">Doelstellingen </w:t>
      </w:r>
    </w:p>
    <w:p>
      <w:pPr>
        <w:pStyle w:val="Normal"/>
        <w:rPr/>
      </w:pPr>
      <w:r>
        <w:rPr/>
      </w:r>
    </w:p>
    <w:p>
      <w:pPr>
        <w:pStyle w:val="Normal"/>
        <w:rPr/>
      </w:pPr>
      <w:r>
        <w:rPr/>
        <w:t xml:space="preserve">Voor het jaar 2026 heeft de SSGKF de volgende doelstellingen: </w:t>
      </w:r>
    </w:p>
    <w:p>
      <w:pPr>
        <w:pStyle w:val="Normal"/>
        <w:rPr/>
      </w:pPr>
      <w:r>
        <w:rPr/>
      </w:r>
    </w:p>
    <w:p>
      <w:pPr>
        <w:pStyle w:val="Normal"/>
        <w:rPr/>
      </w:pPr>
      <w:r>
        <w:rPr/>
        <w:t xml:space="preserve">1. De financiële ondersteuning van de projecten die door de Commission Permanente zijn voorgedragen ter hoogte van een bedrag van € 15.000,- door middel van fondswerving vanuit de kerken waaraan de SSGKF is gelieerd, te weten de CGK en de NGK. </w:t>
      </w:r>
    </w:p>
    <w:p>
      <w:pPr>
        <w:pStyle w:val="Normal"/>
        <w:rPr/>
      </w:pPr>
      <w:r>
        <w:rPr/>
      </w:r>
    </w:p>
    <w:p>
      <w:pPr>
        <w:pStyle w:val="Normal"/>
        <w:rPr/>
      </w:pPr>
      <w:r>
        <w:rPr/>
        <w:t xml:space="preserve">2.   Het informeren van de Nederlandse kerken over de Franse kerken in het algemeen en de projecten die de SSGKF ondersteunt binnen de UNEPREF in het bijzonder en het stimuleren van geestelijke betrokkenheid vanuit de CGK en NGK door het schrijven van nieuwsbrieven, artikelen, het verzorgen van workshops en wat daar verder dienstbaar in kan zijn. </w:t>
      </w:r>
    </w:p>
    <w:p>
      <w:pPr>
        <w:pStyle w:val="Normal"/>
        <w:rPr/>
      </w:pPr>
      <w:r>
        <w:rPr/>
      </w:r>
    </w:p>
    <w:p>
      <w:pPr>
        <w:pStyle w:val="Normal"/>
        <w:rPr/>
      </w:pPr>
      <w:r>
        <w:rPr/>
        <w:t xml:space="preserve">3.   Het stimuleren en indien mogelijk daadwerkelijk ondersteunen van uitwisselingen tussen jongerengroepen, de deelname van Nederlandse jongeren aan werkvakanties die de betrokkenheid van de Nederlandse kerken op de UNEPREF zichtbaar maken. Ook zal de secretaris opnieuw vertaalwerkzaamheden verrichten zodat Nederlandse toeristen de weg naar de Franse erediensten in Anduze makkelijker zullen vinden.   </w:t>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t>Projecten 2026</w:t>
      </w:r>
    </w:p>
    <w:p>
      <w:pPr>
        <w:pStyle w:val="Normal"/>
        <w:rPr/>
      </w:pPr>
      <w:r>
        <w:rPr/>
        <w:t xml:space="preserve">Voor 2026 is door de Commission Permanente van de UNEPREF aan de SSGKF financiële steun gevraagd voor de volgende projecten in diverse kerken in heel Frankrijk: </w:t>
      </w:r>
    </w:p>
    <w:p>
      <w:pPr>
        <w:pStyle w:val="Normal"/>
        <w:spacing w:before="0" w:after="88"/>
        <w:ind w:right="805" w:hanging="0"/>
        <w:jc w:val="center"/>
        <w:rPr>
          <w:lang w:val="fr-FR"/>
        </w:rPr>
      </w:pPr>
      <w:r>
        <w:rPr>
          <w:rFonts w:cs="Calibri"/>
          <w:b/>
          <w:sz w:val="32"/>
          <w:lang w:val="fr-FR"/>
        </w:rPr>
        <w:t>UNEPREF</w:t>
      </w:r>
    </w:p>
    <w:p>
      <w:pPr>
        <w:pStyle w:val="Normal"/>
        <w:spacing w:before="0" w:after="154"/>
        <w:ind w:left="1558" w:hanging="10"/>
        <w:rPr>
          <w:lang w:val="fr-FR"/>
        </w:rPr>
      </w:pPr>
      <w:r>
        <w:rPr>
          <w:rFonts w:cs="Calibri"/>
          <w:b/>
          <w:sz w:val="24"/>
          <w:lang w:val="fr-FR"/>
        </w:rPr>
        <w:t>Recapitulatif des Demandes de Subventions recues</w:t>
      </w:r>
    </w:p>
    <w:p>
      <w:pPr>
        <w:pStyle w:val="Normal"/>
        <w:spacing w:before="0" w:after="154"/>
        <w:ind w:left="1770" w:hanging="10"/>
        <w:rPr>
          <w:lang w:val="fr-FR"/>
        </w:rPr>
      </w:pPr>
      <w:r>
        <w:rPr>
          <w:rFonts w:cs="Calibri"/>
          <w:b/>
          <w:sz w:val="24"/>
          <w:lang w:val="fr-FR"/>
        </w:rPr>
        <w:t>A PRESENTER AU COMITE NEERLANDAIS SSGKF</w:t>
      </w:r>
    </w:p>
    <w:p>
      <w:pPr>
        <w:pStyle w:val="Normal"/>
        <w:spacing w:before="0" w:after="126"/>
        <w:ind w:right="802" w:hanging="0"/>
        <w:jc w:val="center"/>
        <w:rPr>
          <w:lang w:val="fr-FR"/>
        </w:rPr>
      </w:pPr>
      <w:r>
        <w:rPr>
          <w:rFonts w:cs="Calibri"/>
          <w:b/>
          <w:sz w:val="28"/>
          <w:lang w:val="fr-FR"/>
        </w:rPr>
        <w:t>POUR  L'ANNEE 2026</w:t>
      </w:r>
    </w:p>
    <w:tbl>
      <w:tblPr>
        <w:tblStyle w:val="TableGrid"/>
        <w:tblW w:w="10495" w:type="dxa"/>
        <w:jc w:val="left"/>
        <w:tblInd w:w="-1147" w:type="dxa"/>
        <w:tblLayout w:type="fixed"/>
        <w:tblCellMar>
          <w:top w:w="45" w:type="dxa"/>
          <w:left w:w="82" w:type="dxa"/>
          <w:bottom w:w="0" w:type="dxa"/>
          <w:right w:w="64" w:type="dxa"/>
        </w:tblCellMar>
        <w:tblLook w:val="04a0" w:noHBand="0" w:noVBand="1" w:firstColumn="1" w:lastRow="0" w:lastColumn="0" w:firstRow="1"/>
      </w:tblPr>
      <w:tblGrid>
        <w:gridCol w:w="2808"/>
        <w:gridCol w:w="4035"/>
        <w:gridCol w:w="1292"/>
        <w:gridCol w:w="1331"/>
        <w:gridCol w:w="1029"/>
      </w:tblGrid>
      <w:tr>
        <w:trPr>
          <w:trHeight w:val="291" w:hRule="atLeast"/>
        </w:trPr>
        <w:tc>
          <w:tcPr>
            <w:tcW w:w="2808" w:type="dxa"/>
            <w:tcBorders>
              <w:top w:val="single" w:sz="1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ind w:left="2" w:hanging="0"/>
              <w:jc w:val="center"/>
              <w:rPr>
                <w:lang w:val="fr-FR"/>
              </w:rPr>
            </w:pPr>
            <w:r>
              <w:rPr>
                <w:rFonts w:eastAsia="" w:cs=""/>
                <w:b/>
                <w:kern w:val="2"/>
                <w:sz w:val="18"/>
                <w:szCs w:val="24"/>
                <w:lang w:val="fr-FR" w:eastAsia="nl-NL" w:bidi="ar-SA"/>
              </w:rPr>
              <w:t>DEMANDEURS</w:t>
            </w:r>
          </w:p>
        </w:tc>
        <w:tc>
          <w:tcPr>
            <w:tcW w:w="4035" w:type="dxa"/>
            <w:tcBorders>
              <w:top w:val="single" w:sz="1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center"/>
              <w:rPr>
                <w:lang w:val="fr-FR"/>
              </w:rPr>
            </w:pPr>
            <w:r>
              <w:rPr>
                <w:rFonts w:eastAsia="" w:cs=""/>
                <w:b/>
                <w:kern w:val="2"/>
                <w:sz w:val="18"/>
                <w:szCs w:val="24"/>
                <w:lang w:val="fr-FR" w:eastAsia="nl-NL" w:bidi="ar-SA"/>
              </w:rPr>
              <w:t>PROJETS</w:t>
            </w:r>
          </w:p>
        </w:tc>
        <w:tc>
          <w:tcPr>
            <w:tcW w:w="1292" w:type="dxa"/>
            <w:tcBorders>
              <w:top w:val="single" w:sz="1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ind w:right="2" w:hanging="0"/>
              <w:jc w:val="center"/>
              <w:rPr>
                <w:lang w:val="fr-FR"/>
              </w:rPr>
            </w:pPr>
            <w:r>
              <w:rPr>
                <w:rFonts w:eastAsia="" w:cs=""/>
                <w:b/>
                <w:kern w:val="2"/>
                <w:sz w:val="18"/>
                <w:szCs w:val="24"/>
                <w:lang w:val="fr-FR" w:eastAsia="nl-NL" w:bidi="ar-SA"/>
              </w:rPr>
              <w:t>Montants</w:t>
            </w:r>
          </w:p>
        </w:tc>
        <w:tc>
          <w:tcPr>
            <w:tcW w:w="1331" w:type="dxa"/>
            <w:tcBorders>
              <w:top w:val="single" w:sz="1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ind w:right="40" w:hanging="0"/>
              <w:jc w:val="center"/>
              <w:rPr>
                <w:lang w:val="fr-FR"/>
              </w:rPr>
            </w:pPr>
            <w:r>
              <w:rPr>
                <w:rFonts w:eastAsia="" w:cs=""/>
                <w:b/>
                <w:kern w:val="2"/>
                <w:sz w:val="18"/>
                <w:szCs w:val="24"/>
                <w:lang w:val="fr-FR" w:eastAsia="nl-NL" w:bidi="ar-SA"/>
              </w:rPr>
              <w:t xml:space="preserve">Montants </w:t>
            </w:r>
          </w:p>
        </w:tc>
        <w:tc>
          <w:tcPr>
            <w:tcW w:w="1029" w:type="dxa"/>
            <w:tcBorders>
              <w:top w:val="single" w:sz="1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ind w:right="3" w:hanging="0"/>
              <w:jc w:val="center"/>
              <w:rPr>
                <w:lang w:val="fr-FR"/>
              </w:rPr>
            </w:pPr>
            <w:r>
              <w:rPr>
                <w:rFonts w:eastAsia="" w:cs=""/>
                <w:b/>
                <w:kern w:val="2"/>
                <w:sz w:val="20"/>
                <w:szCs w:val="24"/>
                <w:lang w:val="fr-FR" w:eastAsia="nl-NL" w:bidi="ar-SA"/>
              </w:rPr>
              <w:t>Gestion</w:t>
            </w:r>
          </w:p>
        </w:tc>
      </w:tr>
      <w:tr>
        <w:trPr>
          <w:trHeight w:val="290"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ind w:right="1" w:hanging="0"/>
              <w:jc w:val="center"/>
              <w:rPr>
                <w:lang w:val="fr-FR"/>
              </w:rPr>
            </w:pPr>
            <w:r>
              <w:rPr>
                <w:rFonts w:eastAsia="" w:cs=""/>
                <w:b/>
                <w:kern w:val="2"/>
                <w:sz w:val="18"/>
                <w:szCs w:val="24"/>
                <w:lang w:val="fr-FR" w:eastAsia="nl-NL" w:bidi="ar-SA"/>
              </w:rPr>
              <w:t>initiaux</w:t>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ind w:right="2" w:hanging="0"/>
              <w:jc w:val="center"/>
              <w:rPr>
                <w:lang w:val="fr-FR"/>
              </w:rPr>
            </w:pPr>
            <w:r>
              <w:rPr>
                <w:rFonts w:eastAsia="" w:cs=""/>
                <w:b/>
                <w:kern w:val="2"/>
                <w:sz w:val="18"/>
                <w:szCs w:val="24"/>
                <w:lang w:val="fr-FR" w:eastAsia="nl-NL" w:bidi="ar-SA"/>
              </w:rPr>
              <w:t>retenus</w:t>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jc w:val="left"/>
              <w:rPr>
                <w:lang w:val="fr-FR"/>
              </w:rPr>
            </w:pPr>
            <w:r>
              <w:rPr>
                <w:lang w:val="fr-FR"/>
              </w:rPr>
            </w:r>
          </w:p>
        </w:tc>
      </w:tr>
      <w:tr>
        <w:trPr>
          <w:trHeight w:val="290"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center"/>
              <w:rPr>
                <w:lang w:val="fr-FR"/>
              </w:rPr>
            </w:pPr>
            <w:r>
              <w:rPr>
                <w:rFonts w:eastAsia="" w:cs=""/>
                <w:b/>
                <w:kern w:val="2"/>
                <w:sz w:val="18"/>
                <w:szCs w:val="24"/>
                <w:lang w:val="fr-FR" w:eastAsia="nl-NL" w:bidi="ar-SA"/>
              </w:rPr>
              <w:t>demandés</w:t>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ind w:right="1" w:hanging="0"/>
              <w:jc w:val="center"/>
              <w:rPr>
                <w:lang w:val="fr-FR"/>
              </w:rPr>
            </w:pPr>
            <w:r>
              <w:rPr>
                <w:rFonts w:eastAsia="" w:cs=""/>
                <w:b/>
                <w:kern w:val="2"/>
                <w:sz w:val="18"/>
                <w:szCs w:val="24"/>
                <w:lang w:val="fr-FR" w:eastAsia="nl-NL" w:bidi="ar-SA"/>
              </w:rPr>
              <w:t>par la COPER</w:t>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jc w:val="left"/>
              <w:rPr>
                <w:lang w:val="fr-FR"/>
              </w:rPr>
            </w:pPr>
            <w:r>
              <w:rPr>
                <w:lang w:val="fr-FR"/>
              </w:rPr>
            </w:r>
          </w:p>
        </w:tc>
      </w:tr>
      <w:tr>
        <w:trPr>
          <w:trHeight w:val="290"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jc w:val="left"/>
              <w:rPr>
                <w:lang w:val="fr-FR"/>
              </w:rPr>
            </w:pPr>
            <w:r>
              <w:rPr>
                <w:lang w:val="fr-FR"/>
              </w:rPr>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jc w:val="left"/>
              <w:rPr>
                <w:lang w:val="fr-FR"/>
              </w:rPr>
            </w:pPr>
            <w:r>
              <w:rPr>
                <w:lang w:val="fr-FR"/>
              </w:rPr>
            </w:r>
          </w:p>
        </w:tc>
      </w:tr>
      <w:tr>
        <w:trPr>
          <w:trHeight w:val="290"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jc w:val="center"/>
              <w:rPr>
                <w:lang w:val="fr-FR"/>
              </w:rPr>
            </w:pPr>
            <w:r>
              <w:rPr>
                <w:rFonts w:eastAsia="" w:cs=""/>
                <w:b/>
                <w:kern w:val="2"/>
                <w:sz w:val="18"/>
                <w:szCs w:val="24"/>
                <w:lang w:val="fr-FR" w:eastAsia="nl-NL" w:bidi="ar-SA"/>
              </w:rPr>
              <w:t>CDM TIMOTHEE CALVOT</w:t>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ind w:left="2" w:hanging="0"/>
              <w:jc w:val="center"/>
              <w:rPr>
                <w:lang w:val="fr-FR"/>
              </w:rPr>
            </w:pPr>
            <w:r>
              <w:rPr>
                <w:rFonts w:eastAsia="" w:cs=""/>
                <w:kern w:val="2"/>
                <w:sz w:val="18"/>
                <w:szCs w:val="24"/>
                <w:lang w:val="fr-FR" w:eastAsia="nl-NL" w:bidi="ar-SA"/>
              </w:rPr>
              <w:t>Formation des Pasteurs</w:t>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ind w:right="134" w:hanging="0"/>
              <w:jc w:val="center"/>
              <w:rPr>
                <w:lang w:val="fr-FR"/>
              </w:rPr>
            </w:pPr>
            <w:r>
              <w:rPr>
                <w:rFonts w:eastAsia="" w:cs=""/>
                <w:b/>
                <w:kern w:val="2"/>
                <w:sz w:val="18"/>
                <w:szCs w:val="24"/>
                <w:lang w:val="fr-FR" w:eastAsia="nl-NL" w:bidi="ar-SA"/>
              </w:rPr>
              <w:t xml:space="preserve">2 000,00 </w:t>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ind w:right="1" w:hanging="0"/>
              <w:jc w:val="center"/>
              <w:rPr>
                <w:lang w:val="fr-FR"/>
              </w:rPr>
            </w:pPr>
            <w:r>
              <w:rPr>
                <w:rFonts w:eastAsia="" w:cs=""/>
                <w:b/>
                <w:kern w:val="2"/>
                <w:sz w:val="18"/>
                <w:szCs w:val="24"/>
                <w:lang w:val="fr-FR" w:eastAsia="nl-NL" w:bidi="ar-SA"/>
              </w:rPr>
              <w:t>1500,00</w:t>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ind w:left="62" w:hanging="0"/>
              <w:jc w:val="left"/>
              <w:rPr>
                <w:lang w:val="fr-FR"/>
              </w:rPr>
            </w:pPr>
            <w:r>
              <w:rPr>
                <w:rFonts w:eastAsia="" w:cs=""/>
                <w:kern w:val="2"/>
                <w:sz w:val="20"/>
                <w:szCs w:val="24"/>
                <w:lang w:val="fr-FR" w:eastAsia="nl-NL" w:bidi="ar-SA"/>
              </w:rPr>
              <w:t>UNEPREF</w:t>
            </w:r>
          </w:p>
        </w:tc>
      </w:tr>
      <w:tr>
        <w:trPr>
          <w:trHeight w:val="290"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ind w:left="2" w:hanging="0"/>
              <w:jc w:val="center"/>
              <w:rPr>
                <w:lang w:val="fr-FR"/>
              </w:rPr>
            </w:pPr>
            <w:r>
              <w:rPr>
                <w:rFonts w:eastAsia="" w:cs=""/>
                <w:kern w:val="2"/>
                <w:sz w:val="18"/>
                <w:szCs w:val="24"/>
                <w:lang w:val="fr-FR" w:eastAsia="nl-NL" w:bidi="ar-SA"/>
              </w:rPr>
              <w:t>Pastorale et Bourse étudiants</w:t>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jc w:val="left"/>
              <w:rPr>
                <w:lang w:val="fr-FR"/>
              </w:rPr>
            </w:pPr>
            <w:r>
              <w:rPr>
                <w:lang w:val="fr-FR"/>
              </w:rPr>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jc w:val="left"/>
              <w:rPr>
                <w:lang w:val="fr-FR"/>
              </w:rPr>
            </w:pPr>
            <w:r>
              <w:rPr>
                <w:lang w:val="fr-FR"/>
              </w:rPr>
            </w:r>
          </w:p>
        </w:tc>
      </w:tr>
      <w:tr>
        <w:trPr>
          <w:trHeight w:val="290"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jc w:val="left"/>
              <w:rPr>
                <w:lang w:val="fr-FR"/>
              </w:rPr>
            </w:pPr>
            <w:r>
              <w:rPr>
                <w:lang w:val="fr-FR"/>
              </w:rPr>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jc w:val="left"/>
              <w:rPr>
                <w:lang w:val="fr-FR"/>
              </w:rPr>
            </w:pPr>
            <w:r>
              <w:rPr>
                <w:lang w:val="fr-FR"/>
              </w:rPr>
            </w:r>
          </w:p>
        </w:tc>
      </w:tr>
      <w:tr>
        <w:trPr>
          <w:trHeight w:val="290"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ind w:left="79" w:hanging="0"/>
              <w:jc w:val="left"/>
              <w:rPr>
                <w:lang w:val="fr-FR"/>
              </w:rPr>
            </w:pPr>
            <w:r>
              <w:rPr>
                <w:rFonts w:eastAsia="" w:cs=""/>
                <w:b/>
                <w:kern w:val="2"/>
                <w:sz w:val="18"/>
                <w:szCs w:val="24"/>
                <w:lang w:val="fr-FR" w:eastAsia="nl-NL" w:bidi="ar-SA"/>
              </w:rPr>
              <w:t>CENTRE DE VACANCES DE GRIZAC</w:t>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center"/>
              <w:rPr>
                <w:lang w:val="fr-FR"/>
              </w:rPr>
            </w:pPr>
            <w:r>
              <w:rPr>
                <w:rFonts w:eastAsia="" w:cs=""/>
                <w:kern w:val="2"/>
                <w:sz w:val="18"/>
                <w:szCs w:val="24"/>
                <w:lang w:val="fr-FR" w:eastAsia="nl-NL" w:bidi="ar-SA"/>
              </w:rPr>
              <w:t>Amélioration de l'accueil  : changement literie</w:t>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ind w:right="134" w:hanging="0"/>
              <w:jc w:val="center"/>
              <w:rPr>
                <w:lang w:val="fr-FR"/>
              </w:rPr>
            </w:pPr>
            <w:r>
              <w:rPr>
                <w:rFonts w:eastAsia="" w:cs=""/>
                <w:b/>
                <w:kern w:val="2"/>
                <w:sz w:val="18"/>
                <w:szCs w:val="24"/>
                <w:lang w:val="fr-FR" w:eastAsia="nl-NL" w:bidi="ar-SA"/>
              </w:rPr>
              <w:t xml:space="preserve">2 000,00 </w:t>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ind w:right="1" w:hanging="0"/>
              <w:jc w:val="center"/>
              <w:rPr>
                <w:lang w:val="fr-FR"/>
              </w:rPr>
            </w:pPr>
            <w:r>
              <w:rPr>
                <w:rFonts w:eastAsia="" w:cs=""/>
                <w:b/>
                <w:kern w:val="2"/>
                <w:sz w:val="18"/>
                <w:szCs w:val="24"/>
                <w:lang w:val="fr-FR" w:eastAsia="nl-NL" w:bidi="ar-SA"/>
              </w:rPr>
              <w:t>1500,00</w:t>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ind w:right="3" w:hanging="0"/>
              <w:jc w:val="center"/>
              <w:rPr>
                <w:lang w:val="fr-FR"/>
              </w:rPr>
            </w:pPr>
            <w:r>
              <w:rPr>
                <w:rFonts w:eastAsia="" w:cs=""/>
                <w:kern w:val="2"/>
                <w:sz w:val="20"/>
                <w:szCs w:val="24"/>
                <w:lang w:val="fr-FR" w:eastAsia="nl-NL" w:bidi="ar-SA"/>
              </w:rPr>
              <w:t>SEEPRE</w:t>
            </w:r>
          </w:p>
        </w:tc>
      </w:tr>
      <w:tr>
        <w:trPr>
          <w:trHeight w:val="290"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jc w:val="left"/>
              <w:rPr>
                <w:lang w:val="fr-FR"/>
              </w:rPr>
            </w:pPr>
            <w:r>
              <w:rPr>
                <w:lang w:val="fr-FR"/>
              </w:rPr>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jc w:val="left"/>
              <w:rPr>
                <w:lang w:val="fr-FR"/>
              </w:rPr>
            </w:pPr>
            <w:r>
              <w:rPr>
                <w:lang w:val="fr-FR"/>
              </w:rPr>
            </w:r>
          </w:p>
        </w:tc>
      </w:tr>
      <w:tr>
        <w:trPr>
          <w:trHeight w:val="290"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jc w:val="center"/>
              <w:rPr>
                <w:lang w:val="fr-FR"/>
              </w:rPr>
            </w:pPr>
            <w:r>
              <w:rPr>
                <w:rFonts w:eastAsia="" w:cs=""/>
                <w:b/>
                <w:kern w:val="2"/>
                <w:sz w:val="18"/>
                <w:szCs w:val="24"/>
                <w:lang w:val="fr-FR" w:eastAsia="nl-NL" w:bidi="ar-SA"/>
              </w:rPr>
              <w:t>ERE SAINT HIPPOLYE DU FORT</w:t>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ind w:right="2" w:hanging="0"/>
              <w:jc w:val="center"/>
              <w:rPr>
                <w:lang w:val="fr-FR"/>
              </w:rPr>
            </w:pPr>
            <w:r>
              <w:rPr>
                <w:rFonts w:eastAsia="" w:cs=""/>
                <w:kern w:val="2"/>
                <w:sz w:val="18"/>
                <w:szCs w:val="24"/>
                <w:lang w:val="fr-FR" w:eastAsia="nl-NL" w:bidi="ar-SA"/>
              </w:rPr>
              <w:t>Equipement pour transmission cultes et affichage</w:t>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ind w:right="134" w:hanging="0"/>
              <w:jc w:val="center"/>
              <w:rPr>
                <w:lang w:val="fr-FR"/>
              </w:rPr>
            </w:pPr>
            <w:r>
              <w:rPr>
                <w:rFonts w:eastAsia="" w:cs=""/>
                <w:b/>
                <w:kern w:val="2"/>
                <w:sz w:val="18"/>
                <w:szCs w:val="24"/>
                <w:lang w:val="fr-FR" w:eastAsia="nl-NL" w:bidi="ar-SA"/>
              </w:rPr>
              <w:t xml:space="preserve">1 200,00 </w:t>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ind w:right="1" w:hanging="0"/>
              <w:jc w:val="center"/>
              <w:rPr>
                <w:lang w:val="fr-FR"/>
              </w:rPr>
            </w:pPr>
            <w:r>
              <w:rPr>
                <w:rFonts w:eastAsia="" w:cs=""/>
                <w:b/>
                <w:kern w:val="2"/>
                <w:sz w:val="18"/>
                <w:szCs w:val="24"/>
                <w:lang w:val="fr-FR" w:eastAsia="nl-NL" w:bidi="ar-SA"/>
              </w:rPr>
              <w:t>1000,00</w:t>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ind w:left="62" w:hanging="0"/>
              <w:jc w:val="left"/>
              <w:rPr>
                <w:lang w:val="fr-FR"/>
              </w:rPr>
            </w:pPr>
            <w:r>
              <w:rPr>
                <w:rFonts w:eastAsia="" w:cs=""/>
                <w:kern w:val="2"/>
                <w:sz w:val="20"/>
                <w:szCs w:val="24"/>
                <w:lang w:val="fr-FR" w:eastAsia="nl-NL" w:bidi="ar-SA"/>
              </w:rPr>
              <w:t>UNEPREF</w:t>
            </w:r>
          </w:p>
        </w:tc>
      </w:tr>
      <w:tr>
        <w:trPr>
          <w:trHeight w:val="290"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jc w:val="left"/>
              <w:rPr>
                <w:lang w:val="fr-FR"/>
              </w:rPr>
            </w:pPr>
            <w:r>
              <w:rPr>
                <w:lang w:val="fr-FR"/>
              </w:rPr>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jc w:val="left"/>
              <w:rPr>
                <w:lang w:val="fr-FR"/>
              </w:rPr>
            </w:pPr>
            <w:r>
              <w:rPr>
                <w:lang w:val="fr-FR"/>
              </w:rPr>
            </w:r>
          </w:p>
        </w:tc>
      </w:tr>
      <w:tr>
        <w:trPr>
          <w:trHeight w:val="291"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jc w:val="center"/>
              <w:rPr>
                <w:lang w:val="fr-FR"/>
              </w:rPr>
            </w:pPr>
            <w:r>
              <w:rPr>
                <w:rFonts w:eastAsia="" w:cs=""/>
                <w:b/>
                <w:kern w:val="2"/>
                <w:sz w:val="18"/>
                <w:szCs w:val="24"/>
                <w:lang w:val="fr-FR" w:eastAsia="nl-NL" w:bidi="ar-SA"/>
              </w:rPr>
              <w:t>ERE SAINT JEAN DE MARUEJOLS</w:t>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ind w:left="1" w:hanging="0"/>
              <w:jc w:val="center"/>
              <w:rPr>
                <w:lang w:val="fr-FR"/>
              </w:rPr>
            </w:pPr>
            <w:r>
              <w:rPr>
                <w:rFonts w:eastAsia="" w:cs=""/>
                <w:kern w:val="2"/>
                <w:sz w:val="18"/>
                <w:szCs w:val="24"/>
                <w:lang w:val="fr-FR" w:eastAsia="nl-NL" w:bidi="ar-SA"/>
              </w:rPr>
              <w:t>Rénovation de la tisanerie du temple</w:t>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ind w:right="134" w:hanging="0"/>
              <w:jc w:val="center"/>
              <w:rPr>
                <w:lang w:val="fr-FR"/>
              </w:rPr>
            </w:pPr>
            <w:r>
              <w:rPr>
                <w:rFonts w:eastAsia="" w:cs=""/>
                <w:b/>
                <w:kern w:val="2"/>
                <w:sz w:val="18"/>
                <w:szCs w:val="24"/>
                <w:lang w:val="fr-FR" w:eastAsia="nl-NL" w:bidi="ar-SA"/>
              </w:rPr>
              <w:t xml:space="preserve">1 500,00 </w:t>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ind w:right="1" w:hanging="0"/>
              <w:jc w:val="center"/>
              <w:rPr>
                <w:lang w:val="fr-FR"/>
              </w:rPr>
            </w:pPr>
            <w:r>
              <w:rPr>
                <w:rFonts w:eastAsia="" w:cs=""/>
                <w:b/>
                <w:kern w:val="2"/>
                <w:sz w:val="18"/>
                <w:szCs w:val="24"/>
                <w:lang w:val="fr-FR" w:eastAsia="nl-NL" w:bidi="ar-SA"/>
              </w:rPr>
              <w:t>1000,00</w:t>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ind w:left="62" w:hanging="0"/>
              <w:jc w:val="left"/>
              <w:rPr>
                <w:lang w:val="fr-FR"/>
              </w:rPr>
            </w:pPr>
            <w:r>
              <w:rPr>
                <w:rFonts w:eastAsia="" w:cs=""/>
                <w:kern w:val="2"/>
                <w:sz w:val="20"/>
                <w:szCs w:val="24"/>
                <w:lang w:val="fr-FR" w:eastAsia="nl-NL" w:bidi="ar-SA"/>
              </w:rPr>
              <w:t>UNEPREF</w:t>
            </w:r>
          </w:p>
        </w:tc>
      </w:tr>
      <w:tr>
        <w:trPr>
          <w:trHeight w:val="290"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jc w:val="left"/>
              <w:rPr>
                <w:lang w:val="fr-FR"/>
              </w:rPr>
            </w:pPr>
            <w:r>
              <w:rPr>
                <w:lang w:val="fr-FR"/>
              </w:rPr>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jc w:val="left"/>
              <w:rPr>
                <w:lang w:val="fr-FR"/>
              </w:rPr>
            </w:pPr>
            <w:r>
              <w:rPr>
                <w:lang w:val="fr-FR"/>
              </w:rPr>
            </w:r>
          </w:p>
        </w:tc>
      </w:tr>
      <w:tr>
        <w:trPr>
          <w:trHeight w:val="290"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ind w:right="1" w:hanging="0"/>
              <w:jc w:val="center"/>
              <w:rPr>
                <w:lang w:val="fr-FR"/>
              </w:rPr>
            </w:pPr>
            <w:r>
              <w:rPr>
                <w:rFonts w:eastAsia="" w:cs=""/>
                <w:b/>
                <w:kern w:val="2"/>
                <w:sz w:val="18"/>
                <w:szCs w:val="24"/>
                <w:lang w:val="fr-FR" w:eastAsia="nl-NL" w:bidi="ar-SA"/>
              </w:rPr>
              <w:t>ERE LAMBESC</w:t>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ind w:left="1" w:hanging="0"/>
              <w:jc w:val="center"/>
              <w:rPr>
                <w:lang w:val="fr-FR"/>
              </w:rPr>
            </w:pPr>
            <w:r>
              <w:rPr>
                <w:rFonts w:eastAsia="" w:cs=""/>
                <w:kern w:val="2"/>
                <w:sz w:val="18"/>
                <w:szCs w:val="24"/>
                <w:lang w:val="fr-FR" w:eastAsia="nl-NL" w:bidi="ar-SA"/>
              </w:rPr>
              <w:t>Stage et Concert Gospel</w:t>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ind w:right="134" w:hanging="0"/>
              <w:jc w:val="center"/>
              <w:rPr>
                <w:lang w:val="fr-FR"/>
              </w:rPr>
            </w:pPr>
            <w:r>
              <w:rPr>
                <w:rFonts w:eastAsia="" w:cs=""/>
                <w:b/>
                <w:kern w:val="2"/>
                <w:sz w:val="18"/>
                <w:szCs w:val="24"/>
                <w:lang w:val="fr-FR" w:eastAsia="nl-NL" w:bidi="ar-SA"/>
              </w:rPr>
              <w:t xml:space="preserve">1 000,00 </w:t>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ind w:right="1" w:hanging="0"/>
              <w:jc w:val="center"/>
              <w:rPr>
                <w:lang w:val="fr-FR"/>
              </w:rPr>
            </w:pPr>
            <w:r>
              <w:rPr>
                <w:rFonts w:eastAsia="" w:cs=""/>
                <w:b/>
                <w:kern w:val="2"/>
                <w:sz w:val="18"/>
                <w:szCs w:val="24"/>
                <w:lang w:val="fr-FR" w:eastAsia="nl-NL" w:bidi="ar-SA"/>
              </w:rPr>
              <w:t>1000,00</w:t>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ind w:left="62" w:hanging="0"/>
              <w:jc w:val="left"/>
              <w:rPr>
                <w:lang w:val="fr-FR"/>
              </w:rPr>
            </w:pPr>
            <w:r>
              <w:rPr>
                <w:rFonts w:eastAsia="" w:cs=""/>
                <w:kern w:val="2"/>
                <w:sz w:val="20"/>
                <w:szCs w:val="24"/>
                <w:lang w:val="fr-FR" w:eastAsia="nl-NL" w:bidi="ar-SA"/>
              </w:rPr>
              <w:t>UNEPREF</w:t>
            </w:r>
          </w:p>
        </w:tc>
      </w:tr>
      <w:tr>
        <w:trPr>
          <w:trHeight w:val="290"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jc w:val="left"/>
              <w:rPr>
                <w:lang w:val="fr-FR"/>
              </w:rPr>
            </w:pPr>
            <w:r>
              <w:rPr>
                <w:lang w:val="fr-FR"/>
              </w:rPr>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jc w:val="left"/>
              <w:rPr>
                <w:lang w:val="fr-FR"/>
              </w:rPr>
            </w:pPr>
            <w:r>
              <w:rPr>
                <w:lang w:val="fr-FR"/>
              </w:rPr>
            </w:r>
          </w:p>
        </w:tc>
      </w:tr>
      <w:tr>
        <w:trPr>
          <w:trHeight w:val="290"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jc w:val="both"/>
              <w:rPr>
                <w:lang w:val="fr-FR"/>
              </w:rPr>
            </w:pPr>
            <w:r>
              <w:rPr>
                <w:rFonts w:eastAsia="" w:cs=""/>
                <w:b/>
                <w:kern w:val="2"/>
                <w:sz w:val="18"/>
                <w:szCs w:val="24"/>
                <w:lang w:val="fr-FR" w:eastAsia="nl-NL" w:bidi="ar-SA"/>
              </w:rPr>
              <w:t>ERE BERRE-MARIGNANE-VITROLLES</w:t>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ind w:right="2" w:hanging="0"/>
              <w:jc w:val="center"/>
              <w:rPr>
                <w:lang w:val="fr-FR"/>
              </w:rPr>
            </w:pPr>
            <w:r>
              <w:rPr>
                <w:rFonts w:eastAsia="" w:cs=""/>
                <w:kern w:val="2"/>
                <w:sz w:val="18"/>
                <w:szCs w:val="24"/>
                <w:lang w:val="fr-FR" w:eastAsia="nl-NL" w:bidi="ar-SA"/>
              </w:rPr>
              <w:t>Voyage de l'Eglise aux Pays-Bas</w:t>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ind w:right="134" w:hanging="0"/>
              <w:jc w:val="center"/>
              <w:rPr>
                <w:lang w:val="fr-FR"/>
              </w:rPr>
            </w:pPr>
            <w:r>
              <w:rPr>
                <w:rFonts w:eastAsia="" w:cs=""/>
                <w:b/>
                <w:kern w:val="2"/>
                <w:sz w:val="18"/>
                <w:szCs w:val="24"/>
                <w:lang w:val="fr-FR" w:eastAsia="nl-NL" w:bidi="ar-SA"/>
              </w:rPr>
              <w:t xml:space="preserve">1 500,00 </w:t>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ind w:right="1" w:hanging="0"/>
              <w:jc w:val="center"/>
              <w:rPr>
                <w:lang w:val="fr-FR"/>
              </w:rPr>
            </w:pPr>
            <w:r>
              <w:rPr>
                <w:rFonts w:eastAsia="" w:cs=""/>
                <w:b/>
                <w:kern w:val="2"/>
                <w:sz w:val="18"/>
                <w:szCs w:val="24"/>
                <w:lang w:val="fr-FR" w:eastAsia="nl-NL" w:bidi="ar-SA"/>
              </w:rPr>
              <w:t>1000,00</w:t>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ind w:left="62" w:hanging="0"/>
              <w:jc w:val="left"/>
              <w:rPr>
                <w:lang w:val="fr-FR"/>
              </w:rPr>
            </w:pPr>
            <w:r>
              <w:rPr>
                <w:rFonts w:eastAsia="" w:cs=""/>
                <w:kern w:val="2"/>
                <w:sz w:val="20"/>
                <w:szCs w:val="24"/>
                <w:lang w:val="fr-FR" w:eastAsia="nl-NL" w:bidi="ar-SA"/>
              </w:rPr>
              <w:t>UNEPREF</w:t>
            </w:r>
          </w:p>
        </w:tc>
      </w:tr>
      <w:tr>
        <w:trPr>
          <w:trHeight w:val="290"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jc w:val="left"/>
              <w:rPr>
                <w:lang w:val="fr-FR"/>
              </w:rPr>
            </w:pPr>
            <w:r>
              <w:rPr>
                <w:lang w:val="fr-FR"/>
              </w:rPr>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jc w:val="left"/>
              <w:rPr>
                <w:lang w:val="fr-FR"/>
              </w:rPr>
            </w:pPr>
            <w:r>
              <w:rPr>
                <w:lang w:val="fr-FR"/>
              </w:rPr>
            </w:r>
          </w:p>
        </w:tc>
      </w:tr>
      <w:tr>
        <w:trPr>
          <w:trHeight w:val="290"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ind w:left="1" w:hanging="0"/>
              <w:jc w:val="center"/>
              <w:rPr>
                <w:lang w:val="fr-FR"/>
              </w:rPr>
            </w:pPr>
            <w:r>
              <w:rPr>
                <w:rFonts w:eastAsia="" w:cs=""/>
                <w:b/>
                <w:kern w:val="2"/>
                <w:sz w:val="18"/>
                <w:szCs w:val="24"/>
                <w:lang w:val="fr-FR" w:eastAsia="nl-NL" w:bidi="ar-SA"/>
              </w:rPr>
              <w:t>ERE ALES</w:t>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center"/>
              <w:rPr>
                <w:lang w:val="fr-FR"/>
              </w:rPr>
            </w:pPr>
            <w:r>
              <w:rPr>
                <w:rFonts w:eastAsia="" w:cs=""/>
                <w:kern w:val="2"/>
                <w:sz w:val="18"/>
                <w:szCs w:val="24"/>
                <w:lang w:val="fr-FR" w:eastAsia="nl-NL" w:bidi="ar-SA"/>
              </w:rPr>
              <w:t>Rénovation locaux pour activités Eglise</w:t>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ind w:right="134" w:hanging="0"/>
              <w:jc w:val="center"/>
              <w:rPr>
                <w:lang w:val="fr-FR"/>
              </w:rPr>
            </w:pPr>
            <w:r>
              <w:rPr>
                <w:rFonts w:eastAsia="" w:cs=""/>
                <w:b/>
                <w:kern w:val="2"/>
                <w:sz w:val="18"/>
                <w:szCs w:val="24"/>
                <w:lang w:val="fr-FR" w:eastAsia="nl-NL" w:bidi="ar-SA"/>
              </w:rPr>
              <w:t xml:space="preserve">3 500,00 </w:t>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ind w:right="1" w:hanging="0"/>
              <w:jc w:val="center"/>
              <w:rPr>
                <w:lang w:val="fr-FR"/>
              </w:rPr>
            </w:pPr>
            <w:r>
              <w:rPr>
                <w:rFonts w:eastAsia="" w:cs=""/>
                <w:b/>
                <w:kern w:val="2"/>
                <w:sz w:val="18"/>
                <w:szCs w:val="24"/>
                <w:lang w:val="fr-FR" w:eastAsia="nl-NL" w:bidi="ar-SA"/>
              </w:rPr>
              <w:t>2500,00</w:t>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ind w:left="62" w:hanging="0"/>
              <w:jc w:val="left"/>
              <w:rPr>
                <w:lang w:val="fr-FR"/>
              </w:rPr>
            </w:pPr>
            <w:r>
              <w:rPr>
                <w:rFonts w:eastAsia="" w:cs=""/>
                <w:kern w:val="2"/>
                <w:sz w:val="20"/>
                <w:szCs w:val="24"/>
                <w:lang w:val="fr-FR" w:eastAsia="nl-NL" w:bidi="ar-SA"/>
              </w:rPr>
              <w:t>UNEPREF</w:t>
            </w:r>
          </w:p>
        </w:tc>
      </w:tr>
      <w:tr>
        <w:trPr>
          <w:trHeight w:val="290"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jc w:val="left"/>
              <w:rPr>
                <w:lang w:val="fr-FR"/>
              </w:rPr>
            </w:pPr>
            <w:r>
              <w:rPr>
                <w:lang w:val="fr-FR"/>
              </w:rPr>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jc w:val="left"/>
              <w:rPr>
                <w:lang w:val="fr-FR"/>
              </w:rPr>
            </w:pPr>
            <w:r>
              <w:rPr>
                <w:lang w:val="fr-FR"/>
              </w:rPr>
            </w:r>
          </w:p>
        </w:tc>
      </w:tr>
      <w:tr>
        <w:trPr>
          <w:trHeight w:val="290"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ind w:right="1" w:hanging="0"/>
              <w:jc w:val="center"/>
              <w:rPr>
                <w:lang w:val="fr-FR"/>
              </w:rPr>
            </w:pPr>
            <w:r>
              <w:rPr>
                <w:rFonts w:eastAsia="" w:cs=""/>
                <w:b/>
                <w:kern w:val="2"/>
                <w:sz w:val="18"/>
                <w:szCs w:val="24"/>
                <w:lang w:val="fr-FR" w:eastAsia="nl-NL" w:bidi="ar-SA"/>
              </w:rPr>
              <w:t>ERE TOULOUSE</w:t>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ind w:left="22" w:hanging="0"/>
              <w:jc w:val="left"/>
              <w:rPr>
                <w:lang w:val="fr-FR"/>
              </w:rPr>
            </w:pPr>
            <w:r>
              <w:rPr>
                <w:rFonts w:eastAsia="" w:cs=""/>
                <w:kern w:val="2"/>
                <w:sz w:val="18"/>
                <w:szCs w:val="24"/>
                <w:lang w:val="fr-FR" w:eastAsia="nl-NL" w:bidi="ar-SA"/>
              </w:rPr>
              <w:t>Achats de Bibles et autre matériel pour évanglisation</w:t>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ind w:right="134" w:hanging="0"/>
              <w:jc w:val="center"/>
              <w:rPr>
                <w:lang w:val="fr-FR"/>
              </w:rPr>
            </w:pPr>
            <w:r>
              <w:rPr>
                <w:rFonts w:eastAsia="" w:cs=""/>
                <w:b/>
                <w:kern w:val="2"/>
                <w:sz w:val="18"/>
                <w:szCs w:val="24"/>
                <w:lang w:val="fr-FR" w:eastAsia="nl-NL" w:bidi="ar-SA"/>
              </w:rPr>
              <w:t xml:space="preserve">3 500,00 </w:t>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ind w:right="1" w:hanging="0"/>
              <w:jc w:val="center"/>
              <w:rPr>
                <w:lang w:val="fr-FR"/>
              </w:rPr>
            </w:pPr>
            <w:r>
              <w:rPr>
                <w:rFonts w:eastAsia="" w:cs=""/>
                <w:b/>
                <w:kern w:val="2"/>
                <w:sz w:val="18"/>
                <w:szCs w:val="24"/>
                <w:lang w:val="fr-FR" w:eastAsia="nl-NL" w:bidi="ar-SA"/>
              </w:rPr>
              <w:t>1500,00</w:t>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ind w:left="62" w:hanging="0"/>
              <w:jc w:val="left"/>
              <w:rPr>
                <w:lang w:val="fr-FR"/>
              </w:rPr>
            </w:pPr>
            <w:r>
              <w:rPr>
                <w:rFonts w:eastAsia="" w:cs=""/>
                <w:kern w:val="2"/>
                <w:sz w:val="20"/>
                <w:szCs w:val="24"/>
                <w:lang w:val="fr-FR" w:eastAsia="nl-NL" w:bidi="ar-SA"/>
              </w:rPr>
              <w:t>UNEPREF</w:t>
            </w:r>
          </w:p>
        </w:tc>
      </w:tr>
      <w:tr>
        <w:trPr>
          <w:trHeight w:val="290"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ind w:right="1" w:hanging="0"/>
              <w:jc w:val="center"/>
              <w:rPr>
                <w:lang w:val="fr-FR"/>
              </w:rPr>
            </w:pPr>
            <w:r>
              <w:rPr>
                <w:rFonts w:eastAsia="" w:cs=""/>
                <w:kern w:val="2"/>
                <w:sz w:val="18"/>
                <w:szCs w:val="24"/>
                <w:lang w:val="fr-FR" w:eastAsia="nl-NL" w:bidi="ar-SA"/>
              </w:rPr>
              <w:t xml:space="preserve"> </w:t>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jc w:val="left"/>
              <w:rPr>
                <w:lang w:val="fr-FR"/>
              </w:rPr>
            </w:pPr>
            <w:r>
              <w:rPr>
                <w:lang w:val="fr-FR"/>
              </w:rPr>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jc w:val="left"/>
              <w:rPr>
                <w:lang w:val="fr-FR"/>
              </w:rPr>
            </w:pPr>
            <w:r>
              <w:rPr>
                <w:lang w:val="fr-FR"/>
              </w:rPr>
            </w:r>
          </w:p>
        </w:tc>
      </w:tr>
      <w:tr>
        <w:trPr>
          <w:trHeight w:val="290"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ind w:left="58" w:hanging="0"/>
              <w:jc w:val="left"/>
              <w:rPr>
                <w:lang w:val="fr-FR"/>
              </w:rPr>
            </w:pPr>
            <w:r>
              <w:rPr>
                <w:rFonts w:eastAsia="" w:cs=""/>
                <w:b/>
                <w:kern w:val="2"/>
                <w:sz w:val="18"/>
                <w:szCs w:val="24"/>
                <w:lang w:val="fr-FR" w:eastAsia="nl-NL" w:bidi="ar-SA"/>
              </w:rPr>
              <w:t>ASSOCIATION CULTURELLE MARCI</w:t>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ind w:left="1" w:hanging="0"/>
              <w:jc w:val="center"/>
              <w:rPr>
                <w:lang w:val="fr-FR"/>
              </w:rPr>
            </w:pPr>
            <w:r>
              <w:rPr>
                <w:rFonts w:eastAsia="" w:cs=""/>
                <w:kern w:val="2"/>
                <w:sz w:val="18"/>
                <w:szCs w:val="24"/>
                <w:lang w:val="fr-FR" w:eastAsia="nl-NL" w:bidi="ar-SA"/>
              </w:rPr>
              <w:t>Spectacle avec Alain Auderset</w:t>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ind w:right="134" w:hanging="0"/>
              <w:jc w:val="center"/>
              <w:rPr>
                <w:lang w:val="fr-FR"/>
              </w:rPr>
            </w:pPr>
            <w:r>
              <w:rPr>
                <w:rFonts w:eastAsia="" w:cs=""/>
                <w:b/>
                <w:kern w:val="2"/>
                <w:sz w:val="18"/>
                <w:szCs w:val="24"/>
                <w:lang w:val="fr-FR" w:eastAsia="nl-NL" w:bidi="ar-SA"/>
              </w:rPr>
              <w:t xml:space="preserve">2 000,00 </w:t>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ind w:right="1" w:hanging="0"/>
              <w:jc w:val="center"/>
              <w:rPr>
                <w:lang w:val="fr-FR"/>
              </w:rPr>
            </w:pPr>
            <w:r>
              <w:rPr>
                <w:rFonts w:eastAsia="" w:cs=""/>
                <w:b/>
                <w:kern w:val="2"/>
                <w:sz w:val="18"/>
                <w:szCs w:val="24"/>
                <w:lang w:val="fr-FR" w:eastAsia="nl-NL" w:bidi="ar-SA"/>
              </w:rPr>
              <w:t>1500,00</w:t>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ind w:right="3" w:hanging="0"/>
              <w:jc w:val="center"/>
              <w:rPr>
                <w:lang w:val="fr-FR"/>
              </w:rPr>
            </w:pPr>
            <w:r>
              <w:rPr>
                <w:rFonts w:eastAsia="" w:cs=""/>
                <w:kern w:val="2"/>
                <w:sz w:val="20"/>
                <w:szCs w:val="24"/>
                <w:lang w:val="fr-FR" w:eastAsia="nl-NL" w:bidi="ar-SA"/>
              </w:rPr>
              <w:t>SEEPRE</w:t>
            </w:r>
          </w:p>
        </w:tc>
      </w:tr>
      <w:tr>
        <w:trPr>
          <w:trHeight w:val="290"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jc w:val="left"/>
              <w:rPr>
                <w:lang w:val="fr-FR"/>
              </w:rPr>
            </w:pPr>
            <w:r>
              <w:rPr>
                <w:lang w:val="fr-FR"/>
              </w:rPr>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jc w:val="left"/>
              <w:rPr>
                <w:lang w:val="fr-FR"/>
              </w:rPr>
            </w:pPr>
            <w:r>
              <w:rPr>
                <w:lang w:val="fr-FR"/>
              </w:rPr>
            </w:r>
          </w:p>
        </w:tc>
      </w:tr>
      <w:tr>
        <w:trPr>
          <w:trHeight w:val="291"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ind w:right="1" w:hanging="0"/>
              <w:jc w:val="center"/>
              <w:rPr>
                <w:lang w:val="fr-FR"/>
              </w:rPr>
            </w:pPr>
            <w:r>
              <w:rPr>
                <w:rFonts w:eastAsia="" w:cs=""/>
                <w:b/>
                <w:kern w:val="2"/>
                <w:sz w:val="18"/>
                <w:szCs w:val="24"/>
                <w:lang w:val="fr-FR" w:eastAsia="nl-NL" w:bidi="ar-SA"/>
              </w:rPr>
              <w:t>AQUARIUM A CHANSONS</w:t>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ind w:right="1" w:hanging="0"/>
              <w:jc w:val="center"/>
              <w:rPr>
                <w:lang w:val="fr-FR"/>
              </w:rPr>
            </w:pPr>
            <w:r>
              <w:rPr>
                <w:rFonts w:eastAsia="" w:cs=""/>
                <w:kern w:val="2"/>
                <w:sz w:val="18"/>
                <w:szCs w:val="24"/>
                <w:lang w:val="fr-FR" w:eastAsia="nl-NL" w:bidi="ar-SA"/>
              </w:rPr>
              <w:t>Festival "Alès en Ciel"</w:t>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ind w:right="134" w:hanging="0"/>
              <w:jc w:val="center"/>
              <w:rPr>
                <w:lang w:val="fr-FR"/>
              </w:rPr>
            </w:pPr>
            <w:r>
              <w:rPr>
                <w:rFonts w:eastAsia="" w:cs=""/>
                <w:b/>
                <w:kern w:val="2"/>
                <w:sz w:val="18"/>
                <w:szCs w:val="24"/>
                <w:lang w:val="fr-FR" w:eastAsia="nl-NL" w:bidi="ar-SA"/>
              </w:rPr>
              <w:t xml:space="preserve">3 500,00 </w:t>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ind w:right="1" w:hanging="0"/>
              <w:jc w:val="center"/>
              <w:rPr>
                <w:lang w:val="fr-FR"/>
              </w:rPr>
            </w:pPr>
            <w:r>
              <w:rPr>
                <w:rFonts w:eastAsia="" w:cs=""/>
                <w:b/>
                <w:kern w:val="2"/>
                <w:sz w:val="18"/>
                <w:szCs w:val="24"/>
                <w:lang w:val="fr-FR" w:eastAsia="nl-NL" w:bidi="ar-SA"/>
              </w:rPr>
              <w:t>2500,00</w:t>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ind w:right="3" w:hanging="0"/>
              <w:jc w:val="center"/>
              <w:rPr>
                <w:lang w:val="fr-FR"/>
              </w:rPr>
            </w:pPr>
            <w:r>
              <w:rPr>
                <w:rFonts w:eastAsia="" w:cs=""/>
                <w:kern w:val="2"/>
                <w:sz w:val="20"/>
                <w:szCs w:val="24"/>
                <w:lang w:val="fr-FR" w:eastAsia="nl-NL" w:bidi="ar-SA"/>
              </w:rPr>
              <w:t>SEEPRE</w:t>
            </w:r>
          </w:p>
        </w:tc>
      </w:tr>
      <w:tr>
        <w:trPr>
          <w:trHeight w:val="290" w:hRule="atLeast"/>
        </w:trPr>
        <w:tc>
          <w:tcPr>
            <w:tcW w:w="2808" w:type="dxa"/>
            <w:tcBorders>
              <w:top w:val="single" w:sz="8" w:space="0" w:color="000000"/>
              <w:left w:val="single" w:sz="1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4035"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29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1331"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uppressAutoHyphens w:val="true"/>
              <w:spacing w:lineRule="auto" w:line="240" w:before="0" w:after="0"/>
              <w:jc w:val="left"/>
              <w:rPr>
                <w:lang w:val="fr-FR"/>
              </w:rPr>
            </w:pPr>
            <w:r>
              <w:rPr>
                <w:lang w:val="fr-FR"/>
              </w:rPr>
            </w:r>
          </w:p>
        </w:tc>
        <w:tc>
          <w:tcPr>
            <w:tcW w:w="1029" w:type="dxa"/>
            <w:tcBorders>
              <w:top w:val="single" w:sz="8" w:space="0" w:color="000000"/>
              <w:left w:val="single" w:sz="8" w:space="0" w:color="000000"/>
              <w:bottom w:val="single" w:sz="8" w:space="0" w:color="000000"/>
              <w:right w:val="single" w:sz="18" w:space="0" w:color="000000"/>
            </w:tcBorders>
          </w:tcPr>
          <w:p>
            <w:pPr>
              <w:pStyle w:val="Normal"/>
              <w:widowControl w:val="false"/>
              <w:suppressAutoHyphens w:val="true"/>
              <w:spacing w:lineRule="auto" w:line="240" w:before="0" w:after="0"/>
              <w:jc w:val="left"/>
              <w:rPr>
                <w:lang w:val="fr-FR"/>
              </w:rPr>
            </w:pPr>
            <w:r>
              <w:rPr>
                <w:lang w:val="fr-FR"/>
              </w:rPr>
            </w:r>
          </w:p>
        </w:tc>
      </w:tr>
      <w:tr>
        <w:trPr>
          <w:trHeight w:val="290" w:hRule="atLeast"/>
        </w:trPr>
        <w:tc>
          <w:tcPr>
            <w:tcW w:w="2808" w:type="dxa"/>
            <w:tcBorders>
              <w:top w:val="single" w:sz="8" w:space="0" w:color="000000"/>
              <w:left w:val="single" w:sz="18" w:space="0" w:color="000000"/>
              <w:bottom w:val="single" w:sz="18" w:space="0" w:color="000000"/>
              <w:right w:val="single" w:sz="8" w:space="0" w:color="000000"/>
            </w:tcBorders>
          </w:tcPr>
          <w:p>
            <w:pPr>
              <w:pStyle w:val="Normal"/>
              <w:widowControl w:val="false"/>
              <w:suppressAutoHyphens w:val="true"/>
              <w:spacing w:lineRule="auto" w:line="240" w:before="0" w:after="0"/>
              <w:jc w:val="left"/>
              <w:rPr>
                <w:lang w:val="fr-FR"/>
              </w:rPr>
            </w:pPr>
            <w:r>
              <w:rPr>
                <w:lang w:val="fr-FR"/>
              </w:rPr>
            </w:r>
          </w:p>
        </w:tc>
        <w:tc>
          <w:tcPr>
            <w:tcW w:w="4035" w:type="dxa"/>
            <w:tcBorders>
              <w:top w:val="single" w:sz="8" w:space="0" w:color="000000"/>
              <w:left w:val="single" w:sz="8" w:space="0" w:color="000000"/>
              <w:bottom w:val="single" w:sz="18" w:space="0" w:color="000000"/>
              <w:right w:val="single" w:sz="8" w:space="0" w:color="000000"/>
            </w:tcBorders>
          </w:tcPr>
          <w:p>
            <w:pPr>
              <w:pStyle w:val="Normal"/>
              <w:widowControl w:val="false"/>
              <w:suppressAutoHyphens w:val="true"/>
              <w:spacing w:lineRule="auto" w:line="240" w:before="0" w:after="0"/>
              <w:ind w:right="3" w:hanging="0"/>
              <w:jc w:val="center"/>
              <w:rPr>
                <w:lang w:val="fr-FR"/>
              </w:rPr>
            </w:pPr>
            <w:r>
              <w:rPr>
                <w:rFonts w:eastAsia="" w:cs=""/>
                <w:b/>
                <w:kern w:val="2"/>
                <w:sz w:val="20"/>
                <w:szCs w:val="24"/>
                <w:lang w:val="fr-FR" w:eastAsia="nl-NL" w:bidi="ar-SA"/>
              </w:rPr>
              <w:t>Total des demandes</w:t>
            </w:r>
          </w:p>
        </w:tc>
        <w:tc>
          <w:tcPr>
            <w:tcW w:w="1292" w:type="dxa"/>
            <w:tcBorders>
              <w:top w:val="single" w:sz="8" w:space="0" w:color="000000"/>
              <w:left w:val="single" w:sz="8" w:space="0" w:color="000000"/>
              <w:bottom w:val="single" w:sz="18" w:space="0" w:color="000000"/>
              <w:right w:val="single" w:sz="8" w:space="0" w:color="000000"/>
            </w:tcBorders>
          </w:tcPr>
          <w:p>
            <w:pPr>
              <w:pStyle w:val="Normal"/>
              <w:widowControl w:val="false"/>
              <w:suppressAutoHyphens w:val="true"/>
              <w:spacing w:lineRule="auto" w:line="240" w:before="0" w:after="0"/>
              <w:ind w:right="2" w:hanging="0"/>
              <w:jc w:val="center"/>
              <w:rPr>
                <w:lang w:val="fr-FR"/>
              </w:rPr>
            </w:pPr>
            <w:r>
              <w:rPr>
                <w:rFonts w:eastAsia="" w:cs=""/>
                <w:b/>
                <w:kern w:val="2"/>
                <w:sz w:val="20"/>
                <w:szCs w:val="24"/>
                <w:lang w:val="fr-FR" w:eastAsia="nl-NL" w:bidi="ar-SA"/>
              </w:rPr>
              <w:t>21 700,00 €</w:t>
            </w:r>
          </w:p>
        </w:tc>
        <w:tc>
          <w:tcPr>
            <w:tcW w:w="1331" w:type="dxa"/>
            <w:tcBorders>
              <w:top w:val="single" w:sz="8" w:space="0" w:color="000000"/>
              <w:left w:val="single" w:sz="8" w:space="0" w:color="000000"/>
              <w:bottom w:val="single" w:sz="18" w:space="0" w:color="000000"/>
              <w:right w:val="single" w:sz="8" w:space="0" w:color="000000"/>
            </w:tcBorders>
            <w:shd w:color="auto" w:fill="FFFF00" w:val="clear"/>
          </w:tcPr>
          <w:p>
            <w:pPr>
              <w:pStyle w:val="Normal"/>
              <w:widowControl w:val="false"/>
              <w:suppressAutoHyphens w:val="true"/>
              <w:spacing w:lineRule="auto" w:line="240" w:before="0" w:after="0"/>
              <w:ind w:right="1" w:hanging="0"/>
              <w:jc w:val="center"/>
              <w:rPr>
                <w:lang w:val="fr-FR"/>
              </w:rPr>
            </w:pPr>
            <w:r>
              <w:rPr>
                <w:rFonts w:eastAsia="" w:cs=""/>
                <w:b/>
                <w:kern w:val="2"/>
                <w:sz w:val="20"/>
                <w:szCs w:val="24"/>
                <w:lang w:val="fr-FR" w:eastAsia="nl-NL" w:bidi="ar-SA"/>
              </w:rPr>
              <w:t>15 000,00 €</w:t>
            </w:r>
          </w:p>
        </w:tc>
        <w:tc>
          <w:tcPr>
            <w:tcW w:w="1029" w:type="dxa"/>
            <w:tcBorders>
              <w:top w:val="single" w:sz="8" w:space="0" w:color="000000"/>
              <w:left w:val="single" w:sz="8" w:space="0" w:color="000000"/>
              <w:bottom w:val="single" w:sz="18" w:space="0" w:color="000000"/>
              <w:right w:val="single" w:sz="18" w:space="0" w:color="000000"/>
            </w:tcBorders>
          </w:tcPr>
          <w:p>
            <w:pPr>
              <w:pStyle w:val="Normal"/>
              <w:widowControl w:val="false"/>
              <w:suppressAutoHyphens w:val="true"/>
              <w:spacing w:lineRule="auto" w:line="240" w:before="0" w:after="0"/>
              <w:jc w:val="left"/>
              <w:rPr>
                <w:lang w:val="fr-FR"/>
              </w:rPr>
            </w:pPr>
            <w:r>
              <w:rPr>
                <w:lang w:val="fr-FR"/>
              </w:rPr>
            </w:r>
          </w:p>
        </w:tc>
      </w:tr>
    </w:tbl>
    <w:p>
      <w:pPr>
        <w:pStyle w:val="Normal"/>
        <w:rPr>
          <w:rFonts w:ascii="Calibri" w:hAnsi="Calibri" w:eastAsia="Calibri"/>
          <w:color w:val="000000"/>
          <w:kern w:val="2"/>
          <w:lang w:val="fr-FR"/>
          <w14:ligatures w14:val="standardContextual"/>
        </w:rPr>
      </w:pPr>
      <w:r>
        <w:rPr>
          <w:rFonts w:eastAsia="Calibri"/>
          <w:color w:val="000000"/>
          <w:kern w:val="2"/>
          <w:lang w:val="fr-FR"/>
          <w14:ligatures w14:val="standardContextual"/>
        </w:rPr>
      </w:r>
    </w:p>
    <w:p>
      <w:pPr>
        <w:pStyle w:val="Normal"/>
        <w:rPr>
          <w:b/>
          <w:b/>
        </w:rPr>
      </w:pPr>
      <w:r>
        <w:rPr>
          <w:b/>
        </w:rPr>
      </w:r>
    </w:p>
    <w:p>
      <w:pPr>
        <w:pStyle w:val="Normal"/>
        <w:rPr>
          <w:b/>
          <w:b/>
        </w:rPr>
      </w:pPr>
      <w:r>
        <w:rPr>
          <w:b/>
        </w:rPr>
      </w:r>
    </w:p>
    <w:p>
      <w:pPr>
        <w:pStyle w:val="Normal"/>
        <w:rPr>
          <w:b/>
          <w:b/>
        </w:rPr>
      </w:pPr>
      <w:r>
        <w:rPr>
          <w:b/>
        </w:rPr>
        <w:t xml:space="preserve">Werkplan </w:t>
      </w:r>
    </w:p>
    <w:p>
      <w:pPr>
        <w:pStyle w:val="Normal"/>
        <w:rPr/>
      </w:pPr>
      <w:r>
        <w:rPr/>
        <w:t xml:space="preserve">Het bestuur van de SSGKF vergadert twee maal per jaar. In de vergaderingen wordt het beleid vastgesteld en uitgezet. Om de doelstellingen te verwezenlijken wil de SSGKF dit jaar </w:t>
      </w:r>
    </w:p>
    <w:p>
      <w:pPr>
        <w:pStyle w:val="Normal"/>
        <w:rPr/>
      </w:pPr>
      <w:r>
        <w:rPr/>
        <w:t xml:space="preserve">a.  De kerken goed informeren. Dat gebeurt middels een halfjaarlijkse nieuwsbrief, het plaatsen van artikelen in kerkbladen (lokale kerkbladen en incidenteel in de landelijke kerkbladen De Wekker en Onderweg), het zo nodig plaatsen van enkele advertenties, het drukken en uitgeven van visitekaartjes bedoeld ter verspreiding aan Nederlandse toeristen die een Franse kerk bezoeken, het onderhouden van de website, het plaatsen van berichten over o.a. onze projecten op onze Facebookpagina, het desgewenst verzorgen van workshops op zendingsdagen of gemeenteavonden, persoonlijke reclame via mensen die deelnemen aan de activiteiten tijdens uitwisselingen. </w:t>
      </w:r>
    </w:p>
    <w:p>
      <w:pPr>
        <w:pStyle w:val="Normal"/>
        <w:rPr/>
      </w:pPr>
      <w:r>
        <w:rPr/>
        <w:t>b.  De relaties met de Franse kerken goed onderhouden. Dat gebeurt middels e-mail verkeer en persoonlijke ontmoetingen met de leiding van de Franse kerken, de voorzitter van de Commission Permanente van de UNEPREF en betrokkenen uit diverse projecten. Dit jaar zal de seccretaris opnieuw een bezoek brengen aan de synode van de UNEPREF, wat gelegenheid biedt betrokkenen bij alle ondersteunde projecten te kunnen ontmoeten en diverse andere contacten weer te verstevigen.</w:t>
      </w:r>
    </w:p>
    <w:p>
      <w:pPr>
        <w:pStyle w:val="Normal"/>
        <w:rPr/>
      </w:pPr>
      <w:r>
        <w:rPr/>
        <w:t>c.  Netwerken in Nederland onderhouden en verstevigen. Dit jaar zullen we de formele verbinding verstevigen met de kerken van waaruit de Stichting Steun Gereformeerde kerken in Frankrijk ontstaan is. De relatie met de zending van de CG</w:t>
      </w:r>
      <w:r>
        <w:rPr/>
        <w:t>K</w:t>
      </w:r>
      <w:r>
        <w:rPr/>
        <w:t xml:space="preserve"> en met de mission-organisatie van de NGK, de Verre Naasten, willen we waar mogelijk ook formeel (opnieuw) vastleggen. Verder onderhouden we contacten met andere organisaties die hulp geven aan de kerken in Frankrijk. Dat gebeurt door de betrokkenheid bij de vergaderingen van het Frans beraad en – waar nodig of nuttig – afstemming met organisaties als Serve &amp; Travel, deputaten diaconaat van de CGK, de GZB, de HGJB enz. </w:t>
      </w:r>
    </w:p>
    <w:p>
      <w:pPr>
        <w:pStyle w:val="Normal"/>
        <w:rPr/>
      </w:pPr>
      <w:r>
        <w:rPr/>
        <w:t>d.  Verschillende mogelijkheden van uitwisselingen tussen Franse en Nederlandse kerken stimuleren en waar mogelijk ondersteunen. Hier hoort de jaarlijkse ondersteuning van de secretaris bij, die preken vertaalt in het Nederlands, zodat Nederlandse vakantiegangers worden gestimuleerd Franse kerkdiensten bij te wonen. Inmiddels is er een groter netwerk van vertalers waardoor op diverse plaatsen in de Cevennen Nederlandse vakantiegangers nauwer bij de Franse kerkdiensten betrokken kunnen raken. We blijven het kerkbezoek van toeristen aan een van de UNEREF-kerken stimuleren waardoor er meer uitwisseling zal ontstaan. De uitwisse</w:t>
      </w:r>
      <w:r>
        <w:rPr/>
        <w:t>ling</w:t>
      </w:r>
      <w:r>
        <w:rPr/>
        <w:t xml:space="preserve"> wordt verder concreet via diverse netwerken en via de communicatie op FB en in de nieuwsbrieven. </w:t>
      </w:r>
    </w:p>
    <w:p>
      <w:pPr>
        <w:pStyle w:val="Normal"/>
        <w:widowControl/>
        <w:bidi w:val="0"/>
        <w:spacing w:lineRule="auto" w:line="259" w:before="0" w:after="160"/>
        <w:jc w:val="left"/>
        <w:rPr/>
      </w:pPr>
      <w:r>
        <w:rPr/>
        <w:t>e.  Donateurs blijven werven. Dat gebeurt door het onder a. genoemde. Tevens zoekt de SSGKF naar wegen om nieuwe donateurs te werven voor het werk onder de Franse kerken. Betrokkenheid bij bestaand werk vanuit de kerken is daarvoor van belang, evenals een goed gebruik van andere vormen van PR, zoals via Facebook.</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character" w:styleId="DefaultParagraphFont" w:default="1">
    <w:name w:val="Default Paragraph Font"/>
    <w:uiPriority w:val="1"/>
    <w:unhideWhenUsed/>
    <w:qFormat/>
    <w:rPr/>
  </w:style>
  <w:style w:type="paragraph" w:styleId="Heading">
    <w:name w:val="Heading"/>
    <w:basedOn w:val="Normal"/>
    <w:next w:val="TextBody"/>
    <w:qFormat/>
    <w:pPr>
      <w:keepNext w:val="true"/>
      <w:spacing w:before="240" w:after="120"/>
    </w:pPr>
    <w:rPr>
      <w:rFonts w:ascii="Liberation Sans" w:hAnsi="Liberation Sans" w:eastAsia="Unifont"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lang w:val="zxx" w:eastAsia="zxx" w:bidi="zxx"/>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styleId="Tabelraster">
    <w:name w:val="Table Grid"/>
    <w:basedOn w:val="Standaardtabel"/>
    <w:uiPriority w:val="59"/>
    <w:rsid w:val="002b6aba"/>
    <w:pPr>
      <w:spacing w:after="0" w:line="240" w:lineRule="auto"/>
    </w:pPr>
    <w:rPr>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
    <w:name w:val="TableGrid"/>
    <w:rsid w:val="0054530b"/>
    <w:pPr>
      <w:spacing w:after="0" w:line="240" w:lineRule="auto"/>
    </w:pPr>
    <w:rPr>
      <w:rFonts w:eastAsiaTheme="minorEastAsia"/>
      <w:lang w:eastAsia="nl-NL"/>
      <w:sz w:val="24"/>
      <w:szCs w:val="24"/>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Application>LibreOffice/7.3.2.2$Linux_X86_64 LibreOffice_project/30$Build-2</Application>
  <AppVersion>15.0000</AppVersion>
  <Pages>3</Pages>
  <Words>801</Words>
  <Characters>4575</Characters>
  <CharactersWithSpaces>5333</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2026-07-10T09:35:00Z</dcterms:created>
  <dc:creator>Corine</dc:creator>
  <dc:description/>
  <dc:language>en-US</dc:language>
  <cp:lastModifiedBy/>
  <dcterms:modified xsi:type="dcterms:W3CDTF">2026-07-11T22:08:22Z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